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38E5" w:rsidRDefault="009738E5"/>
    <w:p w:rsidR="00DC68E9" w:rsidRDefault="00DC68E9"/>
    <w:p w:rsidR="000242A6" w:rsidRDefault="000242A6"/>
    <w:p w:rsidR="000242A6" w:rsidRDefault="00670B7E">
      <w:r w:rsidRPr="00670B7E">
        <w:rPr>
          <w:noProof/>
          <w:lang w:eastAsia="de-DE"/>
        </w:rPr>
        <w:drawing>
          <wp:inline distT="0" distB="0" distL="0" distR="0">
            <wp:extent cx="5760720" cy="2739904"/>
            <wp:effectExtent l="0" t="0" r="0" b="3810"/>
            <wp:docPr id="2" name="Grafik 2" descr="\\fs02\aeppinge$\Dokumente\Numismatische Sammlung\potenziell_Homepage\Postumus_RIC_V,2_n. 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aeppinge$\Dokumente\Numismatische Sammlung\potenziell_Homepage\Postumus_RIC_V,2_n. 64.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2739904"/>
                    </a:xfrm>
                    <a:prstGeom prst="rect">
                      <a:avLst/>
                    </a:prstGeom>
                    <a:noFill/>
                    <a:ln>
                      <a:noFill/>
                    </a:ln>
                  </pic:spPr>
                </pic:pic>
              </a:graphicData>
            </a:graphic>
          </wp:inline>
        </w:drawing>
      </w:r>
    </w:p>
    <w:p w:rsidR="00670B7E" w:rsidRDefault="00670B7E"/>
    <w:p w:rsidR="00670B7E" w:rsidRDefault="00670B7E"/>
    <w:p w:rsidR="00670B7E" w:rsidRPr="0060666C" w:rsidRDefault="00670B7E">
      <w:pPr>
        <w:rPr>
          <w:b/>
        </w:rPr>
      </w:pPr>
      <w:r w:rsidRPr="0060666C">
        <w:rPr>
          <w:b/>
        </w:rPr>
        <w:t>Antoninian des Postumus, 260-269 n.Chr. (RIC V, 2 p. 342 n. 64)</w:t>
      </w:r>
    </w:p>
    <w:p w:rsidR="00670B7E" w:rsidRDefault="00670B7E"/>
    <w:p w:rsidR="0060666C" w:rsidRDefault="0060666C">
      <w:r>
        <w:t xml:space="preserve">Im Jahr 260 n.Chr. begründete M. </w:t>
      </w:r>
      <w:proofErr w:type="spellStart"/>
      <w:r>
        <w:t>Cassianus</w:t>
      </w:r>
      <w:proofErr w:type="spellEnd"/>
      <w:r>
        <w:t xml:space="preserve"> </w:t>
      </w:r>
      <w:proofErr w:type="spellStart"/>
      <w:r>
        <w:t>L</w:t>
      </w:r>
      <w:r w:rsidR="00BE3C2C">
        <w:t>atinius</w:t>
      </w:r>
      <w:proofErr w:type="spellEnd"/>
      <w:r w:rsidR="00BE3C2C">
        <w:t xml:space="preserve"> Postumus das sogenannte</w:t>
      </w:r>
      <w:r>
        <w:t xml:space="preserve"> „Gallische Sonderreich“, das bis 274 n.Chr. Bestand hatte und Hispanien, Gallien, Britannien sowie </w:t>
      </w:r>
      <w:r w:rsidR="00206178">
        <w:t>die</w:t>
      </w:r>
      <w:r>
        <w:t xml:space="preserve"> germanischen Provinzen umfasste.</w:t>
      </w:r>
      <w:r w:rsidR="00206178">
        <w:t xml:space="preserve"> Nachdem er sich lange gegenüber den Truppen des legitimen Kaisers </w:t>
      </w:r>
      <w:proofErr w:type="spellStart"/>
      <w:r w:rsidR="00206178">
        <w:t>Gallienus</w:t>
      </w:r>
      <w:proofErr w:type="spellEnd"/>
      <w:r w:rsidR="00206178">
        <w:t xml:space="preserve"> sowie gegen Barbareneinfälle hatte behaupten können, wurde Postumus 269 n.Chr. von seinen eigenen Truppen ermordet, da er sich weigerte, ihnen die Provinzhauptstadt </w:t>
      </w:r>
      <w:proofErr w:type="spellStart"/>
      <w:r w:rsidR="00206178">
        <w:t>Mogontiacum</w:t>
      </w:r>
      <w:proofErr w:type="spellEnd"/>
      <w:r w:rsidR="00206178">
        <w:t xml:space="preserve"> (Mainz) zur Plünderung freizugeben.</w:t>
      </w:r>
      <w:r w:rsidR="00FE12D6">
        <w:t xml:space="preserve"> </w:t>
      </w:r>
      <w:r w:rsidR="00BB1FDA">
        <w:t>Die</w:t>
      </w:r>
      <w:r w:rsidR="00FE12D6">
        <w:t xml:space="preserve"> Münzen des Postumus </w:t>
      </w:r>
      <w:r w:rsidR="00BB1FDA">
        <w:t xml:space="preserve">zeichnen sich </w:t>
      </w:r>
      <w:r w:rsidR="00FE12D6">
        <w:t xml:space="preserve">durch ihre generell hohe künstlerische und technische Qualität </w:t>
      </w:r>
      <w:r w:rsidR="00BB1FDA">
        <w:t>aus</w:t>
      </w:r>
      <w:r w:rsidR="00FE12D6">
        <w:t>.</w:t>
      </w:r>
      <w:r w:rsidR="00BB1FDA" w:rsidRPr="00BB1FDA">
        <w:t xml:space="preserve"> </w:t>
      </w:r>
    </w:p>
    <w:p w:rsidR="00206178" w:rsidRDefault="00206178">
      <w:r>
        <w:t>Auf der Vorderseite der Silbermünze ist der bärtige Postumus mit der Strahlenkrone (Zeichen für das Nominal „</w:t>
      </w:r>
      <w:proofErr w:type="spellStart"/>
      <w:r>
        <w:t>Antoninian</w:t>
      </w:r>
      <w:proofErr w:type="spellEnd"/>
      <w:r>
        <w:t>“) abgebildet, begleitet von der Legende IMP(</w:t>
      </w:r>
      <w:proofErr w:type="spellStart"/>
      <w:r>
        <w:t>erator</w:t>
      </w:r>
      <w:proofErr w:type="spellEnd"/>
      <w:r>
        <w:t>) C(</w:t>
      </w:r>
      <w:proofErr w:type="spellStart"/>
      <w:r>
        <w:t>aesar</w:t>
      </w:r>
      <w:proofErr w:type="spellEnd"/>
      <w:r>
        <w:t>) POSTVMVS P(</w:t>
      </w:r>
      <w:proofErr w:type="spellStart"/>
      <w:r>
        <w:t>ius</w:t>
      </w:r>
      <w:proofErr w:type="spellEnd"/>
      <w:r>
        <w:t>) F(</w:t>
      </w:r>
      <w:proofErr w:type="spellStart"/>
      <w:r>
        <w:t>elix</w:t>
      </w:r>
      <w:proofErr w:type="spellEnd"/>
      <w:r>
        <w:t>) AVG(</w:t>
      </w:r>
      <w:proofErr w:type="spellStart"/>
      <w:r>
        <w:t>ustus</w:t>
      </w:r>
      <w:proofErr w:type="spellEnd"/>
      <w:r>
        <w:t>).</w:t>
      </w:r>
    </w:p>
    <w:p w:rsidR="00206178" w:rsidRDefault="00206178">
      <w:r>
        <w:t>Die Rückseite zeigt eine stehende männliche Figur, durch die Attribute Keule</w:t>
      </w:r>
      <w:r w:rsidR="00BC5CDD">
        <w:t>, Bogen</w:t>
      </w:r>
      <w:r>
        <w:t xml:space="preserve"> und Löwenfell als Hercules erkennbar, ergänzt durch die Insc</w:t>
      </w:r>
      <w:r w:rsidR="00BB1FDA">
        <w:t>hrift HERC(</w:t>
      </w:r>
      <w:proofErr w:type="spellStart"/>
      <w:r w:rsidR="00BB1FDA">
        <w:t>uli</w:t>
      </w:r>
      <w:proofErr w:type="spellEnd"/>
      <w:r w:rsidR="00BB1FDA">
        <w:t>) DEVSONIENSI</w:t>
      </w:r>
      <w:r>
        <w:t>. Wie die Münzprägung des Postumus</w:t>
      </w:r>
      <w:r w:rsidR="00BE3C2C">
        <w:t xml:space="preserve"> erkennen lässt, pflegte dieser Kaiser eine besondere Nähe zu Hercules, der auch als sein </w:t>
      </w:r>
      <w:proofErr w:type="spellStart"/>
      <w:r w:rsidR="00BE3C2C" w:rsidRPr="00BE3C2C">
        <w:rPr>
          <w:i/>
        </w:rPr>
        <w:t>comes</w:t>
      </w:r>
      <w:proofErr w:type="spellEnd"/>
      <w:r w:rsidR="00BE3C2C">
        <w:t xml:space="preserve"> (göttlicher Begleiter) auftritt. Die</w:t>
      </w:r>
      <w:r w:rsidR="00FE12D6">
        <w:t xml:space="preserve"> einzigartige</w:t>
      </w:r>
      <w:r w:rsidR="00BE3C2C">
        <w:t xml:space="preserve"> Inkarnation als Hercules </w:t>
      </w:r>
      <w:proofErr w:type="spellStart"/>
      <w:r w:rsidR="00BE3C2C">
        <w:t>Deusoniensis</w:t>
      </w:r>
      <w:proofErr w:type="spellEnd"/>
      <w:r w:rsidR="00BE3C2C">
        <w:t xml:space="preserve"> </w:t>
      </w:r>
      <w:r w:rsidR="00FE12D6">
        <w:t xml:space="preserve">ist nur auf Münzen des Postumus belegt; das Epitheton nimmt Bezug auf den Ort </w:t>
      </w:r>
      <w:proofErr w:type="spellStart"/>
      <w:r w:rsidR="00FE12D6">
        <w:t>Deuso</w:t>
      </w:r>
      <w:proofErr w:type="spellEnd"/>
      <w:r w:rsidR="00FE12D6">
        <w:t xml:space="preserve">, der nicht eindeutig lokalisiert </w:t>
      </w:r>
      <w:r w:rsidR="00BB1FDA">
        <w:t>werden kann</w:t>
      </w:r>
      <w:r w:rsidR="00495328">
        <w:t xml:space="preserve">, jedoch wohl im Umkreis der Einmündung des Flusses </w:t>
      </w:r>
      <w:proofErr w:type="spellStart"/>
      <w:r w:rsidR="00495328">
        <w:t>Dieze</w:t>
      </w:r>
      <w:proofErr w:type="spellEnd"/>
      <w:r w:rsidR="00495328">
        <w:t xml:space="preserve"> in die Maas</w:t>
      </w:r>
      <w:r w:rsidR="00E17D93">
        <w:t xml:space="preserve"> (</w:t>
      </w:r>
      <w:r w:rsidR="00BB1FDA">
        <w:t>i</w:t>
      </w:r>
      <w:r w:rsidR="00E17D93">
        <w:t>n den heutigen Niederlanden) zu suchen ist</w:t>
      </w:r>
      <w:r w:rsidR="00FE12D6">
        <w:t xml:space="preserve">. Vermutlich handelt es sich bei dem Hercules </w:t>
      </w:r>
      <w:proofErr w:type="spellStart"/>
      <w:r w:rsidR="00FE12D6">
        <w:t>Deusoniensis</w:t>
      </w:r>
      <w:proofErr w:type="spellEnd"/>
      <w:r w:rsidR="00FE12D6">
        <w:t xml:space="preserve"> um eine lokale</w:t>
      </w:r>
      <w:r w:rsidR="00C219B9">
        <w:t xml:space="preserve"> Ausprägung des Hercules </w:t>
      </w:r>
      <w:proofErr w:type="spellStart"/>
      <w:r w:rsidR="00C219B9">
        <w:t>Magusanus</w:t>
      </w:r>
      <w:proofErr w:type="spellEnd"/>
      <w:r w:rsidR="00C219B9">
        <w:t>, der</w:t>
      </w:r>
      <w:r w:rsidR="00FE12D6">
        <w:t xml:space="preserve"> in Niedergermanien</w:t>
      </w:r>
      <w:r w:rsidR="00A07702">
        <w:t xml:space="preserve">, insbesondere im </w:t>
      </w:r>
      <w:proofErr w:type="spellStart"/>
      <w:r w:rsidR="00A07702">
        <w:t>batavischen</w:t>
      </w:r>
      <w:proofErr w:type="spellEnd"/>
      <w:r w:rsidR="00A07702">
        <w:t xml:space="preserve"> Stammesgebiet</w:t>
      </w:r>
      <w:r w:rsidR="00495328">
        <w:t>,</w:t>
      </w:r>
      <w:r w:rsidR="00FE12D6">
        <w:t xml:space="preserve"> </w:t>
      </w:r>
      <w:r w:rsidR="00495328">
        <w:t xml:space="preserve">woher möglicherweise auch Postumus selbst stammte, als Kriegsgott </w:t>
      </w:r>
      <w:r w:rsidR="00FE12D6">
        <w:t>verehrt wurde.</w:t>
      </w:r>
      <w:r w:rsidR="00A07702">
        <w:t xml:space="preserve"> Die Hervorhebung des Hercules </w:t>
      </w:r>
      <w:proofErr w:type="spellStart"/>
      <w:r w:rsidR="00A07702">
        <w:t>Deusoniensis</w:t>
      </w:r>
      <w:proofErr w:type="spellEnd"/>
      <w:r w:rsidR="00A07702">
        <w:t xml:space="preserve"> als Schutzgottheit könnte als Bemühung des Usurpators Postumus</w:t>
      </w:r>
      <w:r w:rsidR="00274408">
        <w:t>, der stark</w:t>
      </w:r>
      <w:r w:rsidR="00E17D93">
        <w:t xml:space="preserve"> von der Unterstützung der Armee abhängig war,</w:t>
      </w:r>
      <w:r w:rsidR="00A07702">
        <w:t xml:space="preserve"> angesehen werden, </w:t>
      </w:r>
      <w:r w:rsidR="00BB1FDA">
        <w:t xml:space="preserve">eine besonders enge </w:t>
      </w:r>
      <w:r w:rsidR="00C219B9">
        <w:t xml:space="preserve">Verbindung </w:t>
      </w:r>
      <w:r w:rsidR="00E17D93">
        <w:t xml:space="preserve">zu seinen zu einem Großteil vom Niederrhein </w:t>
      </w:r>
      <w:r w:rsidR="00C219B9">
        <w:t>stammenden Soldaten zu propagieren</w:t>
      </w:r>
      <w:r w:rsidR="00E17D93">
        <w:t xml:space="preserve">. Der kriegerische Aspekt dieser Gottheit (wie auch das Vorderseitenmotiv des Postumus in Rüstung und Feldherrnmantel) verweist auf die ständige Notwendigkeit, das gallische Sonderreich gegen seine Feinde zu verteidigen, während die synkretistische </w:t>
      </w:r>
      <w:r w:rsidR="00274408">
        <w:t>Gleichsetzung</w:t>
      </w:r>
      <w:bookmarkStart w:id="0" w:name="_GoBack"/>
      <w:bookmarkEnd w:id="0"/>
      <w:r w:rsidR="00E17D93">
        <w:t xml:space="preserve"> </w:t>
      </w:r>
      <w:r w:rsidR="00BB1FDA">
        <w:t>des</w:t>
      </w:r>
      <w:r w:rsidR="00E17D93">
        <w:t xml:space="preserve"> </w:t>
      </w:r>
      <w:proofErr w:type="spellStart"/>
      <w:r w:rsidR="00E17D93">
        <w:t>batavischen</w:t>
      </w:r>
      <w:proofErr w:type="spellEnd"/>
      <w:r w:rsidR="00E17D93">
        <w:t xml:space="preserve"> Kriegsgott</w:t>
      </w:r>
      <w:r w:rsidR="00A450C1">
        <w:t>e</w:t>
      </w:r>
      <w:r w:rsidR="00BB1FDA">
        <w:t xml:space="preserve">s </w:t>
      </w:r>
      <w:r w:rsidR="00E17D93">
        <w:t xml:space="preserve"> </w:t>
      </w:r>
      <w:r w:rsidR="00BB1FDA">
        <w:t>mit</w:t>
      </w:r>
      <w:r w:rsidR="00E17D93">
        <w:t xml:space="preserve"> dem römischen Hercules sicherstellte, dass der Hercules </w:t>
      </w:r>
      <w:proofErr w:type="spellStart"/>
      <w:r w:rsidR="00E17D93">
        <w:t>Deusoniensis</w:t>
      </w:r>
      <w:proofErr w:type="spellEnd"/>
      <w:r w:rsidR="00E17D93">
        <w:t xml:space="preserve"> </w:t>
      </w:r>
      <w:r w:rsidR="00BB1FDA">
        <w:t xml:space="preserve">auch </w:t>
      </w:r>
      <w:r w:rsidR="00E17D93">
        <w:t xml:space="preserve">von der </w:t>
      </w:r>
      <w:r w:rsidR="00881265">
        <w:t xml:space="preserve">römischen </w:t>
      </w:r>
      <w:r w:rsidR="00881265">
        <w:lastRenderedPageBreak/>
        <w:t>bezieh</w:t>
      </w:r>
      <w:r w:rsidR="00E17D93">
        <w:t xml:space="preserve">ungsweise romanisierten </w:t>
      </w:r>
      <w:r w:rsidR="00BB1FDA">
        <w:t>Zivilb</w:t>
      </w:r>
      <w:r w:rsidR="00E17D93">
        <w:t>evölkerung des Teilreiches erkannt und rezipiert werden konnte.</w:t>
      </w:r>
    </w:p>
    <w:p w:rsidR="00670B7E" w:rsidRDefault="00670B7E"/>
    <w:p w:rsidR="0060666C" w:rsidRDefault="0060666C"/>
    <w:p w:rsidR="0060666C" w:rsidRDefault="0060666C"/>
    <w:p w:rsidR="0060666C" w:rsidRDefault="0060666C"/>
    <w:p w:rsidR="00670B7E" w:rsidRDefault="00670B7E"/>
    <w:p w:rsidR="00670B7E" w:rsidRPr="00670B7E" w:rsidRDefault="00670B7E">
      <w:r w:rsidRPr="00670B7E">
        <w:rPr>
          <w:b/>
          <w:lang w:val="en-GB"/>
        </w:rPr>
        <w:t>Literatur</w:t>
      </w:r>
      <w:r w:rsidRPr="00670B7E">
        <w:rPr>
          <w:lang w:val="en-GB"/>
        </w:rPr>
        <w:t>: J. Drinkwater, The</w:t>
      </w:r>
      <w:r w:rsidR="00BB1FDA">
        <w:rPr>
          <w:lang w:val="en-GB"/>
        </w:rPr>
        <w:t xml:space="preserve"> Gallic Empire: Separatism and Continuity in the North-Western P</w:t>
      </w:r>
      <w:r w:rsidRPr="00670B7E">
        <w:rPr>
          <w:lang w:val="en-GB"/>
        </w:rPr>
        <w:t xml:space="preserve">rovinces of the Roman Empire A.D. 260-274, </w:t>
      </w:r>
      <w:proofErr w:type="spellStart"/>
      <w:r>
        <w:rPr>
          <w:lang w:val="en-GB"/>
        </w:rPr>
        <w:t>Historia</w:t>
      </w:r>
      <w:proofErr w:type="spellEnd"/>
      <w:r>
        <w:rPr>
          <w:lang w:val="en-GB"/>
        </w:rPr>
        <w:t xml:space="preserve"> </w:t>
      </w:r>
      <w:proofErr w:type="spellStart"/>
      <w:r>
        <w:rPr>
          <w:lang w:val="en-GB"/>
        </w:rPr>
        <w:t>Einzelschriften</w:t>
      </w:r>
      <w:proofErr w:type="spellEnd"/>
      <w:r>
        <w:rPr>
          <w:lang w:val="en-GB"/>
        </w:rPr>
        <w:t xml:space="preserve"> 52, </w:t>
      </w:r>
      <w:r w:rsidRPr="00670B7E">
        <w:rPr>
          <w:lang w:val="en-GB"/>
        </w:rPr>
        <w:t xml:space="preserve">Stuttgart 1987; A. </w:t>
      </w:r>
      <w:r>
        <w:rPr>
          <w:lang w:val="en-GB"/>
        </w:rPr>
        <w:t xml:space="preserve">Eppinger, Hercules in der </w:t>
      </w:r>
      <w:proofErr w:type="spellStart"/>
      <w:r>
        <w:rPr>
          <w:lang w:val="en-GB"/>
        </w:rPr>
        <w:t>Spätantike</w:t>
      </w:r>
      <w:proofErr w:type="spellEnd"/>
      <w:r>
        <w:rPr>
          <w:lang w:val="en-GB"/>
        </w:rPr>
        <w:t xml:space="preserve">. </w:t>
      </w:r>
      <w:r w:rsidRPr="00670B7E">
        <w:t xml:space="preserve">Die Rolle des </w:t>
      </w:r>
      <w:r w:rsidR="0060666C">
        <w:t xml:space="preserve">Heros </w:t>
      </w:r>
      <w:r w:rsidRPr="00670B7E">
        <w:t xml:space="preserve">im </w:t>
      </w:r>
      <w:r>
        <w:t>S</w:t>
      </w:r>
      <w:r w:rsidRPr="00670B7E">
        <w:t xml:space="preserve">pannungsfeld von Heidentum und Christentum, </w:t>
      </w:r>
      <w:r>
        <w:t xml:space="preserve">Philippika 89, Wiesbaden 2015; I. König, </w:t>
      </w:r>
      <w:r w:rsidR="0060666C">
        <w:t xml:space="preserve">Die gallischen Usurpatoren von Postumus bis </w:t>
      </w:r>
      <w:proofErr w:type="spellStart"/>
      <w:r w:rsidR="0060666C">
        <w:t>Tetricus</w:t>
      </w:r>
      <w:proofErr w:type="spellEnd"/>
      <w:r w:rsidR="0060666C">
        <w:t xml:space="preserve">, </w:t>
      </w:r>
      <w:proofErr w:type="spellStart"/>
      <w:r w:rsidR="0060666C">
        <w:t>Vestigia</w:t>
      </w:r>
      <w:proofErr w:type="spellEnd"/>
      <w:r w:rsidR="0060666C">
        <w:t xml:space="preserve"> 31, München 1981.</w:t>
      </w:r>
    </w:p>
    <w:sectPr w:rsidR="00670B7E" w:rsidRPr="00670B7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54B"/>
    <w:rsid w:val="000242A6"/>
    <w:rsid w:val="001363A1"/>
    <w:rsid w:val="001E22C0"/>
    <w:rsid w:val="00206178"/>
    <w:rsid w:val="00274408"/>
    <w:rsid w:val="00495328"/>
    <w:rsid w:val="0052784F"/>
    <w:rsid w:val="0060666C"/>
    <w:rsid w:val="00670B7E"/>
    <w:rsid w:val="00821B5F"/>
    <w:rsid w:val="00881265"/>
    <w:rsid w:val="009738E5"/>
    <w:rsid w:val="00A07702"/>
    <w:rsid w:val="00A07902"/>
    <w:rsid w:val="00A143C3"/>
    <w:rsid w:val="00A450C1"/>
    <w:rsid w:val="00A716EA"/>
    <w:rsid w:val="00B66EFC"/>
    <w:rsid w:val="00BB1FDA"/>
    <w:rsid w:val="00BC5CDD"/>
    <w:rsid w:val="00BE3C2C"/>
    <w:rsid w:val="00C10803"/>
    <w:rsid w:val="00C219B9"/>
    <w:rsid w:val="00DC68E9"/>
    <w:rsid w:val="00E17D93"/>
    <w:rsid w:val="00F0554B"/>
    <w:rsid w:val="00FA0A66"/>
    <w:rsid w:val="00FE12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36A30E-92DA-443B-B483-DE2C7A672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de-DE"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07902"/>
    <w:rPr>
      <w:rFonts w:ascii="Sylfaen" w:hAnsi="Sylfae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059847">
      <w:bodyDiv w:val="1"/>
      <w:marLeft w:val="0"/>
      <w:marRight w:val="0"/>
      <w:marTop w:val="0"/>
      <w:marBottom w:val="0"/>
      <w:divBdr>
        <w:top w:val="none" w:sz="0" w:space="0" w:color="auto"/>
        <w:left w:val="none" w:sz="0" w:space="0" w:color="auto"/>
        <w:bottom w:val="none" w:sz="0" w:space="0" w:color="auto"/>
        <w:right w:val="none" w:sz="0" w:space="0" w:color="auto"/>
      </w:divBdr>
      <w:divsChild>
        <w:div w:id="1724523079">
          <w:marLeft w:val="0"/>
          <w:marRight w:val="0"/>
          <w:marTop w:val="0"/>
          <w:marBottom w:val="0"/>
          <w:divBdr>
            <w:top w:val="none" w:sz="0" w:space="0" w:color="auto"/>
            <w:left w:val="none" w:sz="0" w:space="0" w:color="auto"/>
            <w:bottom w:val="none" w:sz="0" w:space="0" w:color="auto"/>
            <w:right w:val="none" w:sz="0" w:space="0" w:color="auto"/>
          </w:divBdr>
          <w:divsChild>
            <w:div w:id="1695955641">
              <w:marLeft w:val="0"/>
              <w:marRight w:val="0"/>
              <w:marTop w:val="0"/>
              <w:marBottom w:val="0"/>
              <w:divBdr>
                <w:top w:val="none" w:sz="0" w:space="0" w:color="auto"/>
                <w:left w:val="none" w:sz="0" w:space="0" w:color="auto"/>
                <w:bottom w:val="none" w:sz="0" w:space="0" w:color="auto"/>
                <w:right w:val="none" w:sz="0" w:space="0" w:color="auto"/>
              </w:divBdr>
            </w:div>
            <w:div w:id="1653169948">
              <w:marLeft w:val="0"/>
              <w:marRight w:val="0"/>
              <w:marTop w:val="0"/>
              <w:marBottom w:val="0"/>
              <w:divBdr>
                <w:top w:val="none" w:sz="0" w:space="0" w:color="auto"/>
                <w:left w:val="none" w:sz="0" w:space="0" w:color="auto"/>
                <w:bottom w:val="none" w:sz="0" w:space="0" w:color="auto"/>
                <w:right w:val="none" w:sz="0" w:space="0" w:color="auto"/>
              </w:divBdr>
            </w:div>
            <w:div w:id="1390107478">
              <w:marLeft w:val="0"/>
              <w:marRight w:val="0"/>
              <w:marTop w:val="0"/>
              <w:marBottom w:val="0"/>
              <w:divBdr>
                <w:top w:val="none" w:sz="0" w:space="0" w:color="auto"/>
                <w:left w:val="none" w:sz="0" w:space="0" w:color="auto"/>
                <w:bottom w:val="none" w:sz="0" w:space="0" w:color="auto"/>
                <w:right w:val="none" w:sz="0" w:space="0" w:color="auto"/>
              </w:divBdr>
            </w:div>
            <w:div w:id="554200608">
              <w:marLeft w:val="0"/>
              <w:marRight w:val="0"/>
              <w:marTop w:val="0"/>
              <w:marBottom w:val="0"/>
              <w:divBdr>
                <w:top w:val="none" w:sz="0" w:space="0" w:color="auto"/>
                <w:left w:val="none" w:sz="0" w:space="0" w:color="auto"/>
                <w:bottom w:val="none" w:sz="0" w:space="0" w:color="auto"/>
                <w:right w:val="none" w:sz="0" w:space="0" w:color="auto"/>
              </w:divBdr>
            </w:div>
            <w:div w:id="168435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2573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Eppinger, Alexandra</dc:creator>
  <cp:keywords/>
  <dc:description/>
  <cp:lastModifiedBy>Eppinger, Alexandra</cp:lastModifiedBy>
  <cp:revision>10</cp:revision>
  <dcterms:created xsi:type="dcterms:W3CDTF">2016-10-13T08:10:00Z</dcterms:created>
  <dcterms:modified xsi:type="dcterms:W3CDTF">2016-10-13T12:51:00Z</dcterms:modified>
</cp:coreProperties>
</file>